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009C4" w:rsidRDefault="006009C4">
      <w:pPr>
        <w:spacing w:line="480" w:lineRule="auto"/>
        <w:rPr>
          <w:rFonts w:ascii="Times New Roman" w:eastAsia="Times New Roman" w:hAnsi="Times New Roman" w:cs="Times New Roman"/>
          <w:sz w:val="24"/>
          <w:szCs w:val="24"/>
        </w:rPr>
      </w:pPr>
    </w:p>
    <w:p w14:paraId="00000002" w14:textId="77777777" w:rsidR="006009C4" w:rsidRDefault="006009C4">
      <w:pPr>
        <w:spacing w:line="480" w:lineRule="auto"/>
        <w:rPr>
          <w:rFonts w:ascii="Times New Roman" w:eastAsia="Times New Roman" w:hAnsi="Times New Roman" w:cs="Times New Roman"/>
          <w:sz w:val="24"/>
          <w:szCs w:val="24"/>
        </w:rPr>
      </w:pPr>
    </w:p>
    <w:p w14:paraId="00000003" w14:textId="77777777" w:rsidR="006009C4" w:rsidRDefault="006009C4">
      <w:pPr>
        <w:spacing w:line="480" w:lineRule="auto"/>
        <w:jc w:val="center"/>
        <w:rPr>
          <w:rFonts w:ascii="Times New Roman" w:eastAsia="Times New Roman" w:hAnsi="Times New Roman" w:cs="Times New Roman"/>
          <w:b/>
          <w:sz w:val="24"/>
          <w:szCs w:val="24"/>
        </w:rPr>
      </w:pPr>
    </w:p>
    <w:p w14:paraId="00000006" w14:textId="3808C937" w:rsidR="006009C4" w:rsidRDefault="00833A3F" w:rsidP="00A004A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Nursing Research</w:t>
      </w:r>
    </w:p>
    <w:p w14:paraId="441C1F84" w14:textId="77777777" w:rsidR="00A004A1" w:rsidRPr="00A004A1" w:rsidRDefault="00A004A1" w:rsidP="00A004A1">
      <w:pPr>
        <w:spacing w:line="480" w:lineRule="auto"/>
        <w:jc w:val="center"/>
        <w:rPr>
          <w:rFonts w:ascii="Times New Roman" w:eastAsia="Times New Roman" w:hAnsi="Times New Roman" w:cs="Times New Roman"/>
          <w:b/>
          <w:sz w:val="24"/>
          <w:szCs w:val="24"/>
        </w:rPr>
      </w:pPr>
    </w:p>
    <w:p w14:paraId="00000007" w14:textId="17CC830E" w:rsidR="006009C4" w:rsidRDefault="00833A3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77B87BE" w14:textId="41C216C7" w:rsidR="000A2397" w:rsidRDefault="00833A3F" w:rsidP="000A239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00000009" w14:textId="77777777" w:rsidR="006009C4" w:rsidRDefault="00833A3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14:paraId="17907813" w14:textId="30D14AA9" w:rsidR="000A2397" w:rsidRDefault="00833A3F" w:rsidP="000A239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w:t>
      </w:r>
    </w:p>
    <w:p w14:paraId="0000000B" w14:textId="77777777" w:rsidR="006009C4" w:rsidRDefault="00833A3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0000000C" w14:textId="77777777" w:rsidR="006009C4" w:rsidRDefault="006009C4">
      <w:pPr>
        <w:spacing w:line="480" w:lineRule="auto"/>
        <w:rPr>
          <w:rFonts w:ascii="Times New Roman" w:eastAsia="Times New Roman" w:hAnsi="Times New Roman" w:cs="Times New Roman"/>
          <w:sz w:val="24"/>
          <w:szCs w:val="24"/>
        </w:rPr>
      </w:pPr>
    </w:p>
    <w:p w14:paraId="0000000D" w14:textId="77777777" w:rsidR="006009C4" w:rsidRDefault="006009C4">
      <w:pPr>
        <w:spacing w:line="480" w:lineRule="auto"/>
        <w:rPr>
          <w:rFonts w:ascii="Times New Roman" w:eastAsia="Times New Roman" w:hAnsi="Times New Roman" w:cs="Times New Roman"/>
          <w:sz w:val="24"/>
          <w:szCs w:val="24"/>
        </w:rPr>
      </w:pPr>
    </w:p>
    <w:p w14:paraId="0000000E" w14:textId="77777777" w:rsidR="006009C4" w:rsidRDefault="006009C4">
      <w:pPr>
        <w:spacing w:line="480" w:lineRule="auto"/>
        <w:rPr>
          <w:rFonts w:ascii="Times New Roman" w:eastAsia="Times New Roman" w:hAnsi="Times New Roman" w:cs="Times New Roman"/>
          <w:sz w:val="24"/>
          <w:szCs w:val="24"/>
        </w:rPr>
      </w:pPr>
    </w:p>
    <w:p w14:paraId="0000000F" w14:textId="77777777" w:rsidR="006009C4" w:rsidRDefault="006009C4">
      <w:pPr>
        <w:spacing w:line="480" w:lineRule="auto"/>
        <w:rPr>
          <w:rFonts w:ascii="Times New Roman" w:eastAsia="Times New Roman" w:hAnsi="Times New Roman" w:cs="Times New Roman"/>
          <w:sz w:val="24"/>
          <w:szCs w:val="24"/>
        </w:rPr>
      </w:pPr>
    </w:p>
    <w:p w14:paraId="00000010" w14:textId="77777777" w:rsidR="006009C4" w:rsidRDefault="006009C4">
      <w:pPr>
        <w:spacing w:line="480" w:lineRule="auto"/>
        <w:rPr>
          <w:rFonts w:ascii="Times New Roman" w:eastAsia="Times New Roman" w:hAnsi="Times New Roman" w:cs="Times New Roman"/>
          <w:sz w:val="24"/>
          <w:szCs w:val="24"/>
        </w:rPr>
      </w:pPr>
    </w:p>
    <w:p w14:paraId="00000011" w14:textId="77777777" w:rsidR="006009C4" w:rsidRDefault="006009C4">
      <w:pPr>
        <w:spacing w:line="480" w:lineRule="auto"/>
        <w:rPr>
          <w:rFonts w:ascii="Times New Roman" w:eastAsia="Times New Roman" w:hAnsi="Times New Roman" w:cs="Times New Roman"/>
          <w:sz w:val="24"/>
          <w:szCs w:val="24"/>
        </w:rPr>
      </w:pPr>
    </w:p>
    <w:p w14:paraId="7B8ABBF1" w14:textId="77777777" w:rsidR="00A671E3" w:rsidRDefault="00833A3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12" w14:textId="551757A8" w:rsidR="006009C4" w:rsidRDefault="00833A3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Nursing Research</w:t>
      </w:r>
    </w:p>
    <w:p w14:paraId="00000013" w14:textId="77EED2E2" w:rsidR="006009C4" w:rsidRDefault="00833A3F" w:rsidP="00F826F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w:t>
      </w:r>
      <w:r w:rsidR="00853BFC">
        <w:rPr>
          <w:rFonts w:ascii="Times New Roman" w:eastAsia="Times New Roman" w:hAnsi="Times New Roman" w:cs="Times New Roman"/>
          <w:b/>
          <w:sz w:val="24"/>
          <w:szCs w:val="24"/>
        </w:rPr>
        <w:t>1</w:t>
      </w:r>
    </w:p>
    <w:p w14:paraId="00000014" w14:textId="77777777" w:rsidR="006009C4" w:rsidRDefault="00833A3F">
      <w:pPr>
        <w:spacing w:line="48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Quality of life for lung cancer patients has been defined based on individuals' </w:t>
      </w:r>
      <w:r>
        <w:rPr>
          <w:rFonts w:ascii="Times New Roman" w:eastAsia="Times New Roman" w:hAnsi="Times New Roman" w:cs="Times New Roman"/>
          <w:color w:val="000000"/>
          <w:sz w:val="24"/>
          <w:szCs w:val="24"/>
          <w:highlight w:val="white"/>
        </w:rPr>
        <w:t xml:space="preserve">physical health, psychological functioning, level of independence or </w:t>
      </w:r>
      <w:r>
        <w:rPr>
          <w:rFonts w:ascii="Times New Roman" w:eastAsia="Times New Roman" w:hAnsi="Times New Roman" w:cs="Times New Roman"/>
          <w:color w:val="000000"/>
          <w:sz w:val="24"/>
          <w:szCs w:val="24"/>
          <w:highlight w:val="white"/>
        </w:rPr>
        <w:t>dependency on people, the ability to engage in social roles, religion and personal beliefs.</w:t>
      </w:r>
      <w:r>
        <w:rPr>
          <w:rFonts w:ascii="Times New Roman" w:eastAsia="Times New Roman" w:hAnsi="Times New Roman" w:cs="Times New Roman"/>
          <w:color w:val="000000"/>
          <w:sz w:val="24"/>
          <w:szCs w:val="24"/>
          <w:highlight w:val="white"/>
          <w:vertAlign w:val="superscript"/>
        </w:rPr>
        <w:t xml:space="preserve"> </w:t>
      </w:r>
      <w:r>
        <w:rPr>
          <w:rFonts w:ascii="Times New Roman" w:eastAsia="Times New Roman" w:hAnsi="Times New Roman" w:cs="Times New Roman"/>
          <w:color w:val="000000"/>
          <w:sz w:val="24"/>
          <w:szCs w:val="24"/>
          <w:highlight w:val="white"/>
        </w:rPr>
        <w:t xml:space="preserve">When gathering data on an intervention that affects lung cancer patients' quality of life, the nature of the research and the target population are the significant </w:t>
      </w:r>
      <w:r>
        <w:rPr>
          <w:rFonts w:ascii="Times New Roman" w:eastAsia="Times New Roman" w:hAnsi="Times New Roman" w:cs="Times New Roman"/>
          <w:color w:val="000000"/>
          <w:sz w:val="24"/>
          <w:szCs w:val="24"/>
          <w:highlight w:val="white"/>
        </w:rPr>
        <w:t>determinants of the method used (</w:t>
      </w:r>
      <w:r>
        <w:rPr>
          <w:rFonts w:ascii="Times New Roman" w:eastAsia="Times New Roman" w:hAnsi="Times New Roman" w:cs="Times New Roman"/>
          <w:color w:val="222222"/>
          <w:sz w:val="24"/>
          <w:szCs w:val="24"/>
          <w:highlight w:val="white"/>
        </w:rPr>
        <w:t>Grove &amp; Gray, 2018).</w:t>
      </w:r>
      <w:r>
        <w:rPr>
          <w:rFonts w:ascii="Times New Roman" w:eastAsia="Times New Roman" w:hAnsi="Times New Roman" w:cs="Times New Roman"/>
          <w:color w:val="000000"/>
          <w:sz w:val="24"/>
          <w:szCs w:val="24"/>
          <w:highlight w:val="white"/>
        </w:rPr>
        <w:t xml:space="preserve"> The nature of this research may require a patient's assessment of how the medication is working for them. Besides, close monitoring by the doctor to determine the progress of physical health and mental </w:t>
      </w:r>
      <w:r>
        <w:rPr>
          <w:rFonts w:ascii="Times New Roman" w:eastAsia="Times New Roman" w:hAnsi="Times New Roman" w:cs="Times New Roman"/>
          <w:color w:val="000000"/>
          <w:sz w:val="24"/>
          <w:szCs w:val="24"/>
          <w:highlight w:val="white"/>
        </w:rPr>
        <w:t>health; therefore, a method that captures the feelings and changes in the patient's life might be appropriate. Consequently, if the nurse aims to gather the information directly from the patients, they might consider choosing a method that allows for obser</w:t>
      </w:r>
      <w:r>
        <w:rPr>
          <w:rFonts w:ascii="Times New Roman" w:eastAsia="Times New Roman" w:hAnsi="Times New Roman" w:cs="Times New Roman"/>
          <w:color w:val="000000"/>
          <w:sz w:val="24"/>
          <w:szCs w:val="24"/>
          <w:highlight w:val="white"/>
        </w:rPr>
        <w:t>vations due to non-verbal indicators involved and some patient's inability to express themselves fully. Qualitative method of gathering data best suits the research due to its ability to capture rich and in-depth information (</w:t>
      </w:r>
      <w:r>
        <w:rPr>
          <w:rFonts w:ascii="Times New Roman" w:eastAsia="Times New Roman" w:hAnsi="Times New Roman" w:cs="Times New Roman"/>
          <w:color w:val="222222"/>
          <w:sz w:val="24"/>
          <w:szCs w:val="24"/>
          <w:highlight w:val="white"/>
        </w:rPr>
        <w:t>Waltz et al., 2010)</w:t>
      </w:r>
      <w:r>
        <w:rPr>
          <w:rFonts w:ascii="Times New Roman" w:eastAsia="Times New Roman" w:hAnsi="Times New Roman" w:cs="Times New Roman"/>
          <w:color w:val="000000"/>
          <w:sz w:val="24"/>
          <w:szCs w:val="24"/>
          <w:highlight w:val="white"/>
        </w:rPr>
        <w:t>. The natur</w:t>
      </w:r>
      <w:r>
        <w:rPr>
          <w:rFonts w:ascii="Times New Roman" w:eastAsia="Times New Roman" w:hAnsi="Times New Roman" w:cs="Times New Roman"/>
          <w:color w:val="000000"/>
          <w:sz w:val="24"/>
          <w:szCs w:val="24"/>
          <w:highlight w:val="white"/>
        </w:rPr>
        <w:t>e of the research and target population may disqualify the quantitative method of data collection. Therefore, numbers are a significant concern and become spurious when abstract constructs such as feelings are involved.</w:t>
      </w:r>
    </w:p>
    <w:p w14:paraId="00000015" w14:textId="77777777" w:rsidR="006009C4" w:rsidRDefault="00833A3F">
      <w:pPr>
        <w:spacing w:line="48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recommended methods for the rese</w:t>
      </w:r>
      <w:r>
        <w:rPr>
          <w:rFonts w:ascii="Times New Roman" w:eastAsia="Times New Roman" w:hAnsi="Times New Roman" w:cs="Times New Roman"/>
          <w:color w:val="000000"/>
          <w:sz w:val="24"/>
          <w:szCs w:val="24"/>
          <w:highlight w:val="white"/>
        </w:rPr>
        <w:t>arch are the use of interviews, questionnaires and observations. Interviews whether interpersonal or through telephone, provide a way to access more detailed information, especially when open-ended questions are involved (</w:t>
      </w:r>
      <w:r>
        <w:rPr>
          <w:rFonts w:ascii="Times New Roman" w:eastAsia="Times New Roman" w:hAnsi="Times New Roman" w:cs="Times New Roman"/>
          <w:color w:val="222222"/>
          <w:sz w:val="24"/>
          <w:szCs w:val="24"/>
          <w:highlight w:val="white"/>
        </w:rPr>
        <w:t>Grove &amp; Gray, 2018)</w:t>
      </w:r>
      <w:r>
        <w:rPr>
          <w:rFonts w:ascii="Times New Roman" w:eastAsia="Times New Roman" w:hAnsi="Times New Roman" w:cs="Times New Roman"/>
          <w:color w:val="000000"/>
          <w:sz w:val="24"/>
          <w:szCs w:val="24"/>
          <w:highlight w:val="white"/>
        </w:rPr>
        <w:t>. The nurse may</w:t>
      </w:r>
      <w:r>
        <w:rPr>
          <w:rFonts w:ascii="Times New Roman" w:eastAsia="Times New Roman" w:hAnsi="Times New Roman" w:cs="Times New Roman"/>
          <w:color w:val="000000"/>
          <w:sz w:val="24"/>
          <w:szCs w:val="24"/>
          <w:highlight w:val="white"/>
        </w:rPr>
        <w:t xml:space="preserve"> consider interviewing her patients if she has enough time to do so or opt to use a questionnaire, saving time. The interview or the questionnaire will help her capture the </w:t>
      </w:r>
      <w:r>
        <w:rPr>
          <w:rFonts w:ascii="Times New Roman" w:eastAsia="Times New Roman" w:hAnsi="Times New Roman" w:cs="Times New Roman"/>
          <w:color w:val="000000"/>
          <w:sz w:val="24"/>
          <w:szCs w:val="24"/>
          <w:highlight w:val="white"/>
        </w:rPr>
        <w:lastRenderedPageBreak/>
        <w:t>patients' response to how the medication is working for them, financial changes, ho</w:t>
      </w:r>
      <w:r>
        <w:rPr>
          <w:rFonts w:ascii="Times New Roman" w:eastAsia="Times New Roman" w:hAnsi="Times New Roman" w:cs="Times New Roman"/>
          <w:color w:val="000000"/>
          <w:sz w:val="24"/>
          <w:szCs w:val="24"/>
          <w:highlight w:val="white"/>
        </w:rPr>
        <w:t>w the patient is involved in society, and the support system's nature, among other information. Notably, observation will help the nurse capture the patient's physical progress or the functioning of the body or the brain, especially when responding to ques</w:t>
      </w:r>
      <w:r>
        <w:rPr>
          <w:rFonts w:ascii="Times New Roman" w:eastAsia="Times New Roman" w:hAnsi="Times New Roman" w:cs="Times New Roman"/>
          <w:color w:val="000000"/>
          <w:sz w:val="24"/>
          <w:szCs w:val="24"/>
          <w:highlight w:val="white"/>
        </w:rPr>
        <w:t>tions.</w:t>
      </w:r>
    </w:p>
    <w:p w14:paraId="00000016" w14:textId="17C89F4C" w:rsidR="006009C4" w:rsidRDefault="00833A3F" w:rsidP="00F826F3">
      <w:pPr>
        <w:spacing w:line="48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Question </w:t>
      </w:r>
      <w:r w:rsidR="00853BFC">
        <w:rPr>
          <w:rFonts w:ascii="Times New Roman" w:eastAsia="Times New Roman" w:hAnsi="Times New Roman" w:cs="Times New Roman"/>
          <w:b/>
          <w:color w:val="000000"/>
          <w:sz w:val="24"/>
          <w:szCs w:val="24"/>
          <w:highlight w:val="white"/>
        </w:rPr>
        <w:t>2</w:t>
      </w:r>
    </w:p>
    <w:p w14:paraId="00000017" w14:textId="77777777" w:rsidR="006009C4" w:rsidRDefault="00833A3F">
      <w:pPr>
        <w:spacing w:line="48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In a past encounter with a cancer patient, I focused on getting her perception of how she was progressing physically, the current health situation. I questioned her about lifestyle and health measures. According to </w:t>
      </w:r>
      <w:r>
        <w:rPr>
          <w:rFonts w:ascii="Times New Roman" w:eastAsia="Times New Roman" w:hAnsi="Times New Roman" w:cs="Times New Roman"/>
          <w:color w:val="222222"/>
          <w:sz w:val="24"/>
          <w:szCs w:val="24"/>
          <w:highlight w:val="white"/>
        </w:rPr>
        <w:t>Moser &amp; Korstjens, 2018</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4"/>
          <w:szCs w:val="24"/>
          <w:highlight w:val="white"/>
        </w:rPr>
        <w:t>quality of life of patients with long-term illnesses is mainly impacted by their lifestyle as they go through their medication. Hence, I based my questions on Nutrition, Relationship and Stress Levels. From the questions asked, my patient admitted to feel</w:t>
      </w:r>
      <w:r>
        <w:rPr>
          <w:rFonts w:ascii="Times New Roman" w:eastAsia="Times New Roman" w:hAnsi="Times New Roman" w:cs="Times New Roman"/>
          <w:color w:val="000000"/>
          <w:sz w:val="24"/>
          <w:szCs w:val="24"/>
          <w:highlight w:val="white"/>
        </w:rPr>
        <w:t>ing better from the previous chemotherapy session, but she did not like the mention of another session. On the question on nutrition habits, I gathered that the patient took enough fluids and fruits as recommended and she had a supportive daughter who made</w:t>
      </w:r>
      <w:r>
        <w:rPr>
          <w:rFonts w:ascii="Times New Roman" w:eastAsia="Times New Roman" w:hAnsi="Times New Roman" w:cs="Times New Roman"/>
          <w:color w:val="000000"/>
          <w:sz w:val="24"/>
          <w:szCs w:val="24"/>
          <w:highlight w:val="white"/>
        </w:rPr>
        <w:t xml:space="preserve"> sure she took meals and medication on time. However, the patient expressed feeling pain from time to time that distressed her and her sleeping patterns were not admirable. Despite the patient's positive response feeling better, I was able to observe weigh</w:t>
      </w:r>
      <w:r>
        <w:rPr>
          <w:rFonts w:ascii="Times New Roman" w:eastAsia="Times New Roman" w:hAnsi="Times New Roman" w:cs="Times New Roman"/>
          <w:color w:val="000000"/>
          <w:sz w:val="24"/>
          <w:szCs w:val="24"/>
          <w:highlight w:val="white"/>
        </w:rPr>
        <w:t>t loss that I later confirmed with the weighing machine. Consequently, through observation, I could tell the patient's distress when she talked about the constant pains.</w:t>
      </w:r>
    </w:p>
    <w:p w14:paraId="00000018" w14:textId="77777777" w:rsidR="006009C4" w:rsidRPr="00F826F3" w:rsidRDefault="00833A3F">
      <w:pPr>
        <w:spacing w:line="480" w:lineRule="auto"/>
        <w:ind w:firstLine="720"/>
        <w:rPr>
          <w:rFonts w:ascii="Times New Roman" w:eastAsia="Times New Roman" w:hAnsi="Times New Roman" w:cs="Times New Roman"/>
          <w:b/>
          <w:color w:val="000000"/>
          <w:sz w:val="24"/>
          <w:szCs w:val="24"/>
          <w:highlight w:val="white"/>
        </w:rPr>
      </w:pPr>
      <w:r w:rsidRPr="00F826F3">
        <w:rPr>
          <w:rFonts w:ascii="Times New Roman" w:eastAsia="Times New Roman" w:hAnsi="Times New Roman" w:cs="Times New Roman"/>
          <w:b/>
          <w:color w:val="000000"/>
          <w:sz w:val="24"/>
          <w:szCs w:val="24"/>
          <w:highlight w:val="white"/>
        </w:rPr>
        <w:t>The open-ended questions used in the assessment of my patient were:</w:t>
      </w:r>
    </w:p>
    <w:p w14:paraId="00000019" w14:textId="77777777" w:rsidR="006009C4" w:rsidRDefault="00833A3F">
      <w:pPr>
        <w:spacing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How are you </w:t>
      </w:r>
      <w:r>
        <w:rPr>
          <w:rFonts w:ascii="Times New Roman" w:eastAsia="Times New Roman" w:hAnsi="Times New Roman" w:cs="Times New Roman"/>
          <w:color w:val="000000"/>
          <w:sz w:val="24"/>
          <w:szCs w:val="24"/>
          <w:highlight w:val="white"/>
        </w:rPr>
        <w:t>feeling today based on the past chemotherapy session?</w:t>
      </w:r>
    </w:p>
    <w:p w14:paraId="0000001A" w14:textId="77777777" w:rsidR="006009C4" w:rsidRDefault="00833A3F">
      <w:pPr>
        <w:spacing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How do you feel about the next session?</w:t>
      </w:r>
    </w:p>
    <w:p w14:paraId="0000001B" w14:textId="77777777" w:rsidR="006009C4" w:rsidRDefault="00833A3F">
      <w:pPr>
        <w:spacing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What would you say about your sleeping patterns?</w:t>
      </w:r>
    </w:p>
    <w:p w14:paraId="0000001C" w14:textId="77777777" w:rsidR="006009C4" w:rsidRPr="008A53E7" w:rsidRDefault="00833A3F">
      <w:pPr>
        <w:spacing w:line="480" w:lineRule="auto"/>
        <w:ind w:firstLine="720"/>
        <w:rPr>
          <w:rFonts w:ascii="Times New Roman" w:eastAsia="Times New Roman" w:hAnsi="Times New Roman" w:cs="Times New Roman"/>
          <w:b/>
          <w:color w:val="000000"/>
          <w:sz w:val="24"/>
          <w:szCs w:val="24"/>
          <w:highlight w:val="white"/>
        </w:rPr>
      </w:pPr>
      <w:r w:rsidRPr="008A53E7">
        <w:rPr>
          <w:rFonts w:ascii="Times New Roman" w:eastAsia="Times New Roman" w:hAnsi="Times New Roman" w:cs="Times New Roman"/>
          <w:b/>
          <w:color w:val="000000"/>
          <w:sz w:val="24"/>
          <w:szCs w:val="24"/>
          <w:highlight w:val="white"/>
        </w:rPr>
        <w:t>I also asked the following close-ended questions:</w:t>
      </w:r>
    </w:p>
    <w:p w14:paraId="0000001D" w14:textId="77777777" w:rsidR="006009C4" w:rsidRDefault="00833A3F">
      <w:pPr>
        <w:spacing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Do you take enough fruits and water as recommended?</w:t>
      </w:r>
    </w:p>
    <w:p w14:paraId="0000001E" w14:textId="77777777" w:rsidR="006009C4" w:rsidRDefault="00833A3F">
      <w:pPr>
        <w:spacing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Who </w:t>
      </w:r>
      <w:r>
        <w:rPr>
          <w:rFonts w:ascii="Times New Roman" w:eastAsia="Times New Roman" w:hAnsi="Times New Roman" w:cs="Times New Roman"/>
          <w:color w:val="000000"/>
          <w:sz w:val="24"/>
          <w:szCs w:val="24"/>
          <w:highlight w:val="white"/>
        </w:rPr>
        <w:t>prepares your meals and medication?</w:t>
      </w:r>
    </w:p>
    <w:p w14:paraId="0000001F" w14:textId="77777777" w:rsidR="006009C4" w:rsidRDefault="00833A3F">
      <w:pPr>
        <w:spacing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Are your meals and medication given to you as advised?</w:t>
      </w:r>
    </w:p>
    <w:p w14:paraId="00000020" w14:textId="77777777" w:rsidR="006009C4" w:rsidRDefault="006009C4">
      <w:pPr>
        <w:spacing w:line="480" w:lineRule="auto"/>
        <w:rPr>
          <w:rFonts w:ascii="Times New Roman" w:eastAsia="Times New Roman" w:hAnsi="Times New Roman" w:cs="Times New Roman"/>
          <w:color w:val="000000"/>
          <w:sz w:val="24"/>
          <w:szCs w:val="24"/>
          <w:highlight w:val="white"/>
        </w:rPr>
      </w:pPr>
    </w:p>
    <w:p w14:paraId="00000021" w14:textId="77777777" w:rsidR="006009C4" w:rsidRDefault="006009C4">
      <w:pPr>
        <w:spacing w:line="480" w:lineRule="auto"/>
        <w:rPr>
          <w:rFonts w:ascii="Times New Roman" w:eastAsia="Times New Roman" w:hAnsi="Times New Roman" w:cs="Times New Roman"/>
          <w:color w:val="000000"/>
          <w:sz w:val="24"/>
          <w:szCs w:val="24"/>
          <w:highlight w:val="white"/>
        </w:rPr>
      </w:pPr>
    </w:p>
    <w:p w14:paraId="00000022" w14:textId="77777777" w:rsidR="006009C4" w:rsidRDefault="006009C4">
      <w:pPr>
        <w:spacing w:line="480" w:lineRule="auto"/>
        <w:rPr>
          <w:rFonts w:ascii="Times New Roman" w:eastAsia="Times New Roman" w:hAnsi="Times New Roman" w:cs="Times New Roman"/>
          <w:color w:val="000000"/>
          <w:sz w:val="24"/>
          <w:szCs w:val="24"/>
          <w:highlight w:val="white"/>
        </w:rPr>
      </w:pPr>
    </w:p>
    <w:p w14:paraId="00000023" w14:textId="77777777" w:rsidR="006009C4" w:rsidRDefault="006009C4">
      <w:pPr>
        <w:spacing w:line="480" w:lineRule="auto"/>
        <w:rPr>
          <w:rFonts w:ascii="Times New Roman" w:eastAsia="Times New Roman" w:hAnsi="Times New Roman" w:cs="Times New Roman"/>
          <w:color w:val="000000"/>
          <w:sz w:val="24"/>
          <w:szCs w:val="24"/>
          <w:highlight w:val="white"/>
        </w:rPr>
      </w:pPr>
    </w:p>
    <w:p w14:paraId="00000024" w14:textId="77777777" w:rsidR="006009C4" w:rsidRDefault="006009C4">
      <w:pPr>
        <w:spacing w:line="480" w:lineRule="auto"/>
        <w:rPr>
          <w:rFonts w:ascii="Times New Roman" w:eastAsia="Times New Roman" w:hAnsi="Times New Roman" w:cs="Times New Roman"/>
          <w:color w:val="000000"/>
          <w:sz w:val="24"/>
          <w:szCs w:val="24"/>
          <w:highlight w:val="white"/>
        </w:rPr>
      </w:pPr>
    </w:p>
    <w:p w14:paraId="00000025" w14:textId="77777777" w:rsidR="006009C4" w:rsidRDefault="006009C4">
      <w:pPr>
        <w:spacing w:line="480" w:lineRule="auto"/>
        <w:ind w:firstLine="720"/>
        <w:rPr>
          <w:rFonts w:ascii="Times New Roman" w:eastAsia="Times New Roman" w:hAnsi="Times New Roman" w:cs="Times New Roman"/>
          <w:color w:val="000000"/>
          <w:sz w:val="24"/>
          <w:szCs w:val="24"/>
          <w:highlight w:val="white"/>
        </w:rPr>
      </w:pPr>
    </w:p>
    <w:p w14:paraId="00000026" w14:textId="77777777" w:rsidR="006009C4" w:rsidRDefault="006009C4">
      <w:pPr>
        <w:spacing w:line="480" w:lineRule="auto"/>
        <w:ind w:firstLine="720"/>
        <w:rPr>
          <w:rFonts w:ascii="Times New Roman" w:eastAsia="Times New Roman" w:hAnsi="Times New Roman" w:cs="Times New Roman"/>
          <w:color w:val="000000"/>
          <w:sz w:val="24"/>
          <w:szCs w:val="24"/>
          <w:highlight w:val="white"/>
        </w:rPr>
      </w:pPr>
    </w:p>
    <w:p w14:paraId="00000027" w14:textId="77777777" w:rsidR="006009C4" w:rsidRDefault="006009C4">
      <w:pPr>
        <w:spacing w:line="480" w:lineRule="auto"/>
        <w:ind w:firstLine="720"/>
        <w:rPr>
          <w:rFonts w:ascii="Times New Roman" w:eastAsia="Times New Roman" w:hAnsi="Times New Roman" w:cs="Times New Roman"/>
          <w:color w:val="000000"/>
          <w:sz w:val="24"/>
          <w:szCs w:val="24"/>
          <w:highlight w:val="white"/>
        </w:rPr>
      </w:pPr>
    </w:p>
    <w:p w14:paraId="00000028" w14:textId="77777777" w:rsidR="006009C4" w:rsidRDefault="006009C4">
      <w:pPr>
        <w:spacing w:line="480" w:lineRule="auto"/>
        <w:ind w:firstLine="720"/>
        <w:rPr>
          <w:rFonts w:ascii="Times New Roman" w:eastAsia="Times New Roman" w:hAnsi="Times New Roman" w:cs="Times New Roman"/>
          <w:color w:val="000000"/>
          <w:sz w:val="24"/>
          <w:szCs w:val="24"/>
          <w:highlight w:val="white"/>
        </w:rPr>
      </w:pPr>
    </w:p>
    <w:p w14:paraId="00000029" w14:textId="77777777" w:rsidR="006009C4" w:rsidRDefault="006009C4">
      <w:pPr>
        <w:spacing w:line="480" w:lineRule="auto"/>
        <w:ind w:firstLine="720"/>
        <w:rPr>
          <w:rFonts w:ascii="Times New Roman" w:eastAsia="Times New Roman" w:hAnsi="Times New Roman" w:cs="Times New Roman"/>
          <w:color w:val="000000"/>
          <w:sz w:val="24"/>
          <w:szCs w:val="24"/>
          <w:highlight w:val="white"/>
        </w:rPr>
      </w:pPr>
    </w:p>
    <w:p w14:paraId="0000002A" w14:textId="77777777" w:rsidR="006009C4" w:rsidRDefault="006009C4">
      <w:pPr>
        <w:spacing w:line="480" w:lineRule="auto"/>
        <w:ind w:firstLine="720"/>
        <w:rPr>
          <w:rFonts w:ascii="Times New Roman" w:eastAsia="Times New Roman" w:hAnsi="Times New Roman" w:cs="Times New Roman"/>
          <w:color w:val="000000"/>
          <w:sz w:val="24"/>
          <w:szCs w:val="24"/>
          <w:highlight w:val="white"/>
        </w:rPr>
      </w:pPr>
    </w:p>
    <w:p w14:paraId="0000002B" w14:textId="77777777" w:rsidR="006009C4" w:rsidRDefault="006009C4">
      <w:pPr>
        <w:spacing w:line="480" w:lineRule="auto"/>
        <w:ind w:firstLine="720"/>
        <w:rPr>
          <w:rFonts w:ascii="Times New Roman" w:eastAsia="Times New Roman" w:hAnsi="Times New Roman" w:cs="Times New Roman"/>
          <w:color w:val="000000"/>
          <w:sz w:val="24"/>
          <w:szCs w:val="24"/>
          <w:highlight w:val="white"/>
        </w:rPr>
      </w:pPr>
    </w:p>
    <w:p w14:paraId="0000002C" w14:textId="77777777" w:rsidR="006009C4" w:rsidRDefault="00833A3F">
      <w:pPr>
        <w:spacing w:line="480" w:lineRule="auto"/>
        <w:jc w:val="center"/>
        <w:rPr>
          <w:rFonts w:ascii="Times New Roman" w:eastAsia="Times New Roman" w:hAnsi="Times New Roman" w:cs="Times New Roman"/>
          <w:b/>
          <w:color w:val="000000"/>
          <w:sz w:val="24"/>
          <w:szCs w:val="24"/>
          <w:highlight w:val="white"/>
        </w:rPr>
      </w:pPr>
      <w:bookmarkStart w:id="0" w:name="_gjdgxs" w:colFirst="0" w:colLast="0"/>
      <w:bookmarkEnd w:id="0"/>
      <w:r>
        <w:rPr>
          <w:rFonts w:ascii="Times New Roman" w:eastAsia="Times New Roman" w:hAnsi="Times New Roman" w:cs="Times New Roman"/>
          <w:b/>
          <w:color w:val="000000"/>
          <w:sz w:val="24"/>
          <w:szCs w:val="24"/>
          <w:highlight w:val="white"/>
        </w:rPr>
        <w:lastRenderedPageBreak/>
        <w:t>References</w:t>
      </w:r>
    </w:p>
    <w:p w14:paraId="3B517A9B" w14:textId="77777777" w:rsidR="00C0563E" w:rsidRDefault="00833A3F" w:rsidP="00C0563E">
      <w:pPr>
        <w:spacing w:line="48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222222"/>
          <w:sz w:val="24"/>
          <w:szCs w:val="24"/>
          <w:highlight w:val="white"/>
        </w:rPr>
        <w:t>Grove, S. K., &amp; Gray, J. R. (2018). </w:t>
      </w:r>
      <w:r>
        <w:rPr>
          <w:rFonts w:ascii="Times New Roman" w:eastAsia="Times New Roman" w:hAnsi="Times New Roman" w:cs="Times New Roman"/>
          <w:i/>
          <w:color w:val="222222"/>
          <w:sz w:val="24"/>
          <w:szCs w:val="24"/>
          <w:highlight w:val="white"/>
        </w:rPr>
        <w:t>Understanding Nursing Research E-Book: Building an Evidence-Based Practice</w:t>
      </w:r>
      <w:r>
        <w:rPr>
          <w:rFonts w:ascii="Times New Roman" w:eastAsia="Times New Roman" w:hAnsi="Times New Roman" w:cs="Times New Roman"/>
          <w:color w:val="222222"/>
          <w:sz w:val="24"/>
          <w:szCs w:val="24"/>
          <w:highlight w:val="white"/>
        </w:rPr>
        <w:t>. Elsevier Health Sciences.</w:t>
      </w:r>
      <w:r>
        <w:rPr>
          <w:rFonts w:ascii="Times New Roman" w:eastAsia="Times New Roman" w:hAnsi="Times New Roman" w:cs="Times New Roman"/>
          <w:i/>
          <w:color w:val="222222"/>
          <w:sz w:val="24"/>
          <w:szCs w:val="24"/>
          <w:highlight w:val="white"/>
        </w:rPr>
        <w:t>nerat</w:t>
      </w:r>
      <w:r>
        <w:rPr>
          <w:rFonts w:ascii="Times New Roman" w:eastAsia="Times New Roman" w:hAnsi="Times New Roman" w:cs="Times New Roman"/>
          <w:i/>
          <w:color w:val="222222"/>
          <w:sz w:val="24"/>
          <w:szCs w:val="24"/>
          <w:highlight w:val="white"/>
        </w:rPr>
        <w:t>ion of evidence</w:t>
      </w:r>
      <w:r>
        <w:rPr>
          <w:rFonts w:ascii="Times New Roman" w:eastAsia="Times New Roman" w:hAnsi="Times New Roman" w:cs="Times New Roman"/>
          <w:color w:val="222222"/>
          <w:sz w:val="24"/>
          <w:szCs w:val="24"/>
          <w:highlight w:val="white"/>
        </w:rPr>
        <w:t>. Elsevier Health Science</w:t>
      </w:r>
    </w:p>
    <w:p w14:paraId="0000002E" w14:textId="3FD95F08" w:rsidR="006009C4" w:rsidRDefault="00833A3F" w:rsidP="00C0563E">
      <w:pPr>
        <w:spacing w:line="48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222222"/>
          <w:sz w:val="24"/>
          <w:szCs w:val="24"/>
          <w:highlight w:val="white"/>
        </w:rPr>
        <w:t xml:space="preserve">Moser, A., &amp; Korstjens, I. (2018). Series: Practical guidance to qualitative research. Part 3: Sampling, data collection </w:t>
      </w:r>
      <w:bookmarkStart w:id="1" w:name="_GoBack"/>
      <w:bookmarkEnd w:id="1"/>
      <w:r>
        <w:rPr>
          <w:rFonts w:ascii="Times New Roman" w:eastAsia="Times New Roman" w:hAnsi="Times New Roman" w:cs="Times New Roman"/>
          <w:color w:val="222222"/>
          <w:sz w:val="24"/>
          <w:szCs w:val="24"/>
          <w:highlight w:val="white"/>
        </w:rPr>
        <w:t>and analysis. </w:t>
      </w:r>
      <w:r>
        <w:rPr>
          <w:rFonts w:ascii="Times New Roman" w:eastAsia="Times New Roman" w:hAnsi="Times New Roman" w:cs="Times New Roman"/>
          <w:i/>
          <w:color w:val="222222"/>
          <w:sz w:val="24"/>
          <w:szCs w:val="24"/>
          <w:highlight w:val="white"/>
        </w:rPr>
        <w:t>European Journal of General Practice</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24</w:t>
      </w:r>
      <w:r>
        <w:rPr>
          <w:rFonts w:ascii="Times New Roman" w:eastAsia="Times New Roman" w:hAnsi="Times New Roman" w:cs="Times New Roman"/>
          <w:color w:val="222222"/>
          <w:sz w:val="24"/>
          <w:szCs w:val="24"/>
          <w:highlight w:val="white"/>
        </w:rPr>
        <w:t>(1), 9-18.</w:t>
      </w:r>
    </w:p>
    <w:p w14:paraId="0000002F" w14:textId="77777777" w:rsidR="006009C4" w:rsidRDefault="00833A3F" w:rsidP="008A53E7">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Waltz, C. F., Strickland, O. </w:t>
      </w:r>
      <w:r>
        <w:rPr>
          <w:rFonts w:ascii="Times New Roman" w:eastAsia="Times New Roman" w:hAnsi="Times New Roman" w:cs="Times New Roman"/>
          <w:color w:val="222222"/>
          <w:sz w:val="24"/>
          <w:szCs w:val="24"/>
          <w:highlight w:val="white"/>
        </w:rPr>
        <w:t>L., &amp; Lenz, E. R. (Eds.). (2010). </w:t>
      </w:r>
      <w:r>
        <w:rPr>
          <w:rFonts w:ascii="Times New Roman" w:eastAsia="Times New Roman" w:hAnsi="Times New Roman" w:cs="Times New Roman"/>
          <w:i/>
          <w:color w:val="222222"/>
          <w:sz w:val="24"/>
          <w:szCs w:val="24"/>
          <w:highlight w:val="white"/>
        </w:rPr>
        <w:t>Measurement in nursing and health research</w:t>
      </w:r>
      <w:r>
        <w:rPr>
          <w:rFonts w:ascii="Times New Roman" w:eastAsia="Times New Roman" w:hAnsi="Times New Roman" w:cs="Times New Roman"/>
          <w:color w:val="222222"/>
          <w:sz w:val="24"/>
          <w:szCs w:val="24"/>
          <w:highlight w:val="white"/>
        </w:rPr>
        <w:t>. Springer publishing company.</w:t>
      </w:r>
    </w:p>
    <w:p w14:paraId="00000030" w14:textId="77777777" w:rsidR="006009C4" w:rsidRDefault="006009C4">
      <w:pPr>
        <w:spacing w:line="480" w:lineRule="auto"/>
        <w:ind w:firstLine="720"/>
        <w:rPr>
          <w:rFonts w:ascii="Times New Roman" w:eastAsia="Times New Roman" w:hAnsi="Times New Roman" w:cs="Times New Roman"/>
          <w:color w:val="000000"/>
          <w:sz w:val="24"/>
          <w:szCs w:val="24"/>
          <w:highlight w:val="white"/>
        </w:rPr>
      </w:pPr>
    </w:p>
    <w:sectPr w:rsidR="006009C4">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C395C" w14:textId="77777777" w:rsidR="00833A3F" w:rsidRDefault="00833A3F">
      <w:pPr>
        <w:spacing w:after="0" w:line="240" w:lineRule="auto"/>
      </w:pPr>
      <w:r>
        <w:separator/>
      </w:r>
    </w:p>
  </w:endnote>
  <w:endnote w:type="continuationSeparator" w:id="0">
    <w:p w14:paraId="012228F7" w14:textId="77777777" w:rsidR="00833A3F" w:rsidRDefault="0083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987D6" w14:textId="77777777" w:rsidR="00833A3F" w:rsidRDefault="00833A3F">
      <w:pPr>
        <w:spacing w:after="0" w:line="240" w:lineRule="auto"/>
      </w:pPr>
      <w:r>
        <w:separator/>
      </w:r>
    </w:p>
  </w:footnote>
  <w:footnote w:type="continuationSeparator" w:id="0">
    <w:p w14:paraId="101E6AEB" w14:textId="77777777" w:rsidR="00833A3F" w:rsidRDefault="00833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1" w14:textId="77777777" w:rsidR="006009C4" w:rsidRPr="00A004A1" w:rsidRDefault="00833A3F">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4"/>
        <w:szCs w:val="24"/>
      </w:rPr>
    </w:pPr>
    <w:r w:rsidRPr="00A004A1">
      <w:rPr>
        <w:rFonts w:ascii="Times New Roman" w:hAnsi="Times New Roman" w:cs="Times New Roman"/>
        <w:color w:val="000000"/>
        <w:sz w:val="24"/>
        <w:szCs w:val="24"/>
      </w:rPr>
      <w:fldChar w:fldCharType="begin"/>
    </w:r>
    <w:r w:rsidRPr="00A004A1">
      <w:rPr>
        <w:rFonts w:ascii="Times New Roman" w:hAnsi="Times New Roman" w:cs="Times New Roman"/>
        <w:color w:val="000000"/>
        <w:sz w:val="24"/>
        <w:szCs w:val="24"/>
      </w:rPr>
      <w:instrText>PAGE</w:instrText>
    </w:r>
    <w:r w:rsidRPr="00A004A1">
      <w:rPr>
        <w:rFonts w:ascii="Times New Roman" w:hAnsi="Times New Roman" w:cs="Times New Roman"/>
        <w:color w:val="000000"/>
        <w:sz w:val="24"/>
        <w:szCs w:val="24"/>
      </w:rPr>
      <w:fldChar w:fldCharType="separate"/>
    </w:r>
    <w:r w:rsidR="00C0563E">
      <w:rPr>
        <w:rFonts w:ascii="Times New Roman" w:hAnsi="Times New Roman" w:cs="Times New Roman"/>
        <w:noProof/>
        <w:color w:val="000000"/>
        <w:sz w:val="24"/>
        <w:szCs w:val="24"/>
      </w:rPr>
      <w:t>4</w:t>
    </w:r>
    <w:r w:rsidRPr="00A004A1">
      <w:rPr>
        <w:rFonts w:ascii="Times New Roman" w:hAnsi="Times New Roman" w:cs="Times New Roman"/>
        <w:color w:val="000000"/>
        <w:sz w:val="24"/>
        <w:szCs w:val="24"/>
      </w:rPr>
      <w:fldChar w:fldCharType="end"/>
    </w:r>
  </w:p>
  <w:p w14:paraId="00000032" w14:textId="77777777" w:rsidR="006009C4" w:rsidRPr="00A004A1" w:rsidRDefault="006009C4">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C4"/>
    <w:rsid w:val="000A2397"/>
    <w:rsid w:val="000C05CE"/>
    <w:rsid w:val="006009C4"/>
    <w:rsid w:val="00833A3F"/>
    <w:rsid w:val="00853BFC"/>
    <w:rsid w:val="008A53E7"/>
    <w:rsid w:val="00A004A1"/>
    <w:rsid w:val="00A671E3"/>
    <w:rsid w:val="00C0563E"/>
    <w:rsid w:val="00F8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69844-1A09-4CCE-B2C3-E23C94EB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00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A1"/>
  </w:style>
  <w:style w:type="paragraph" w:styleId="Footer">
    <w:name w:val="footer"/>
    <w:basedOn w:val="Normal"/>
    <w:link w:val="FooterChar"/>
    <w:uiPriority w:val="99"/>
    <w:unhideWhenUsed/>
    <w:rsid w:val="00A00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LAPTOP</cp:lastModifiedBy>
  <cp:revision>8</cp:revision>
  <dcterms:created xsi:type="dcterms:W3CDTF">2021-02-16T11:35:00Z</dcterms:created>
  <dcterms:modified xsi:type="dcterms:W3CDTF">2021-02-16T12:09:00Z</dcterms:modified>
</cp:coreProperties>
</file>